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7C" w:rsidRDefault="00FB59C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Dofetilide (Tikosyn) Protocol</w:t>
      </w:r>
    </w:p>
    <w:p w:rsidR="0000357C" w:rsidRDefault="00FB59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Prior to dofetilide initiation</w:t>
      </w:r>
    </w:p>
    <w:p w:rsidR="0000357C" w:rsidRDefault="00FB59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both current and previous admission medication and notify physician for contraindications per list below:</w:t>
      </w:r>
    </w:p>
    <w:p w:rsidR="0000357C" w:rsidRDefault="00FB59CA">
      <w:pPr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304800</wp:posOffset>
            </wp:positionV>
            <wp:extent cx="7625715" cy="5232400"/>
            <wp:effectExtent l="0" t="0" r="0" b="635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59CA" w:rsidRDefault="00FB59CA" w:rsidP="00FB59CA">
      <w:pPr>
        <w:pStyle w:val="ListParagraph"/>
        <w:rPr>
          <w:sz w:val="36"/>
          <w:szCs w:val="36"/>
        </w:rPr>
      </w:pPr>
    </w:p>
    <w:p w:rsidR="0000357C" w:rsidRDefault="00FB59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</w:t>
      </w:r>
      <w:r>
        <w:rPr>
          <w:sz w:val="36"/>
          <w:szCs w:val="36"/>
        </w:rPr>
        <w:t xml:space="preserve">eview anticoagulation – Confirm 4 weeks of compliance in patients taking dabigatran, rivaroxaban, apixaban, or warfarin (INR &gt;/= 2).  Notify physican if INR &lt; 2 or non-compliant on other meds listed. </w:t>
      </w:r>
    </w:p>
    <w:p w:rsidR="0000357C" w:rsidRDefault="0000357C">
      <w:pPr>
        <w:pStyle w:val="ListParagraph"/>
        <w:rPr>
          <w:sz w:val="36"/>
          <w:szCs w:val="36"/>
        </w:rPr>
      </w:pPr>
    </w:p>
    <w:p w:rsidR="0000357C" w:rsidRDefault="00FB59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Obtain CMP &amp; Mg w/in 24 hours – Notify physician for </w:t>
      </w:r>
      <w:r>
        <w:rPr>
          <w:sz w:val="36"/>
          <w:szCs w:val="36"/>
        </w:rPr>
        <w:t>hypomagnesemia (Mg++ &lt;2.0) and/or hypokalemia (K+ &lt;4.0)</w:t>
      </w:r>
    </w:p>
    <w:p w:rsidR="0000357C" w:rsidRDefault="0000357C">
      <w:pPr>
        <w:pStyle w:val="ListParagraph"/>
      </w:pPr>
    </w:p>
    <w:p w:rsidR="0000357C" w:rsidRDefault="0084602C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391160</wp:posOffset>
            </wp:positionV>
            <wp:extent cx="7223760" cy="6832600"/>
            <wp:effectExtent l="0" t="0" r="0" b="635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59CA">
        <w:rPr>
          <w:b/>
          <w:sz w:val="48"/>
          <w:szCs w:val="48"/>
        </w:rPr>
        <w:t>Dofetilide Initial Dosing Diagram</w:t>
      </w:r>
    </w:p>
    <w:p w:rsidR="00000EB1" w:rsidRPr="00000EB1" w:rsidRDefault="00FB59CA" w:rsidP="00000EB1">
      <w:pPr>
        <w:spacing w:after="0"/>
        <w:jc w:val="center"/>
        <w:rPr>
          <w:b/>
          <w:bCs/>
          <w:sz w:val="36"/>
          <w:szCs w:val="36"/>
        </w:rPr>
      </w:pPr>
      <w:r w:rsidRPr="00000EB1">
        <w:rPr>
          <w:b/>
          <w:bCs/>
          <w:sz w:val="36"/>
          <w:szCs w:val="36"/>
        </w:rPr>
        <w:lastRenderedPageBreak/>
        <w:t xml:space="preserve">Dose Adjustments </w:t>
      </w:r>
      <w:r w:rsidR="00000EB1" w:rsidRPr="00000EB1">
        <w:rPr>
          <w:b/>
          <w:bCs/>
          <w:sz w:val="36"/>
          <w:szCs w:val="36"/>
        </w:rPr>
        <w:t>(1</w:t>
      </w:r>
      <w:r w:rsidR="00000EB1" w:rsidRPr="00000EB1">
        <w:rPr>
          <w:b/>
          <w:bCs/>
          <w:sz w:val="36"/>
          <w:szCs w:val="36"/>
          <w:vertAlign w:val="superscript"/>
        </w:rPr>
        <w:t>st</w:t>
      </w:r>
      <w:r w:rsidR="00000EB1" w:rsidRPr="00000EB1">
        <w:rPr>
          <w:b/>
          <w:bCs/>
          <w:sz w:val="36"/>
          <w:szCs w:val="36"/>
        </w:rPr>
        <w:t xml:space="preserve"> dose only)</w:t>
      </w:r>
    </w:p>
    <w:p w:rsidR="00000EB1" w:rsidRPr="00000EB1" w:rsidRDefault="00000EB1" w:rsidP="00000EB1">
      <w:pPr>
        <w:spacing w:after="0"/>
        <w:jc w:val="center"/>
        <w:rPr>
          <w:b/>
          <w:bCs/>
          <w:i/>
          <w:sz w:val="28"/>
          <w:szCs w:val="28"/>
        </w:rPr>
      </w:pPr>
      <w:r w:rsidRPr="00000EB1">
        <w:rPr>
          <w:b/>
          <w:bCs/>
          <w:sz w:val="28"/>
          <w:szCs w:val="28"/>
        </w:rPr>
        <w:t xml:space="preserve"> </w:t>
      </w:r>
      <w:r w:rsidRPr="00000EB1">
        <w:rPr>
          <w:b/>
          <w:bCs/>
          <w:i/>
          <w:sz w:val="28"/>
          <w:szCs w:val="28"/>
        </w:rPr>
        <w:t xml:space="preserve">&gt;15% increase in QTc from baseline or &gt;500 msec or &gt;550 msec in patients </w:t>
      </w:r>
    </w:p>
    <w:p w:rsidR="0000357C" w:rsidRPr="00000EB1" w:rsidRDefault="00000EB1" w:rsidP="00000EB1">
      <w:pPr>
        <w:spacing w:after="0"/>
        <w:jc w:val="center"/>
        <w:rPr>
          <w:b/>
          <w:bCs/>
          <w:i/>
          <w:sz w:val="28"/>
          <w:szCs w:val="28"/>
        </w:rPr>
      </w:pPr>
      <w:r w:rsidRPr="00000EB1">
        <w:rPr>
          <w:b/>
          <w:bCs/>
          <w:i/>
          <w:sz w:val="28"/>
          <w:szCs w:val="28"/>
        </w:rPr>
        <w:t>with ventricular conduc</w:t>
      </w:r>
      <w:r w:rsidR="00FB59CA">
        <w:rPr>
          <w:b/>
          <w:bCs/>
          <w:i/>
          <w:sz w:val="28"/>
          <w:szCs w:val="28"/>
        </w:rPr>
        <w:t>tion abnormality</w:t>
      </w:r>
      <w:bookmarkStart w:id="0" w:name="_GoBack"/>
      <w:bookmarkEnd w:id="0"/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5688"/>
      </w:tblGrid>
      <w:tr w:rsidR="0000357C" w:rsidTr="0084602C">
        <w:tc>
          <w:tcPr>
            <w:tcW w:w="5688" w:type="dxa"/>
          </w:tcPr>
          <w:p w:rsidR="0000357C" w:rsidRPr="00000EB1" w:rsidRDefault="00FB59CA">
            <w:pPr>
              <w:pStyle w:val="TableContents"/>
              <w:rPr>
                <w:b/>
                <w:sz w:val="36"/>
                <w:szCs w:val="36"/>
              </w:rPr>
            </w:pPr>
            <w:r w:rsidRPr="00000EB1">
              <w:rPr>
                <w:b/>
                <w:sz w:val="36"/>
                <w:szCs w:val="36"/>
              </w:rPr>
              <w:t>If starting dose is:</w:t>
            </w:r>
          </w:p>
        </w:tc>
        <w:tc>
          <w:tcPr>
            <w:tcW w:w="5688" w:type="dxa"/>
          </w:tcPr>
          <w:p w:rsidR="0000357C" w:rsidRPr="00000EB1" w:rsidRDefault="00FB59CA">
            <w:pPr>
              <w:pStyle w:val="TableContents"/>
              <w:rPr>
                <w:b/>
                <w:sz w:val="36"/>
                <w:szCs w:val="36"/>
              </w:rPr>
            </w:pPr>
            <w:r w:rsidRPr="00000EB1">
              <w:rPr>
                <w:b/>
                <w:sz w:val="36"/>
                <w:szCs w:val="36"/>
              </w:rPr>
              <w:t>Adjusted dose is:</w:t>
            </w:r>
          </w:p>
        </w:tc>
      </w:tr>
      <w:tr w:rsidR="0000357C" w:rsidTr="0084602C">
        <w:tc>
          <w:tcPr>
            <w:tcW w:w="5688" w:type="dxa"/>
          </w:tcPr>
          <w:p w:rsidR="0000357C" w:rsidRDefault="00FB59C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500mcg BID</w:t>
            </w:r>
          </w:p>
        </w:tc>
        <w:tc>
          <w:tcPr>
            <w:tcW w:w="5688" w:type="dxa"/>
          </w:tcPr>
          <w:p w:rsidR="0000357C" w:rsidRDefault="00FB59C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250mcg BID</w:t>
            </w:r>
          </w:p>
        </w:tc>
      </w:tr>
      <w:tr w:rsidR="0000357C" w:rsidTr="0084602C">
        <w:tc>
          <w:tcPr>
            <w:tcW w:w="5688" w:type="dxa"/>
          </w:tcPr>
          <w:p w:rsidR="0000357C" w:rsidRDefault="00FB59C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250mcg BID</w:t>
            </w:r>
          </w:p>
        </w:tc>
        <w:tc>
          <w:tcPr>
            <w:tcW w:w="5688" w:type="dxa"/>
          </w:tcPr>
          <w:p w:rsidR="0000357C" w:rsidRDefault="00FB59C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125mcg BID</w:t>
            </w:r>
          </w:p>
        </w:tc>
      </w:tr>
      <w:tr w:rsidR="0000357C" w:rsidTr="0084602C">
        <w:tc>
          <w:tcPr>
            <w:tcW w:w="5688" w:type="dxa"/>
          </w:tcPr>
          <w:p w:rsidR="0000357C" w:rsidRDefault="00FB59C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125mcg BID</w:t>
            </w:r>
          </w:p>
        </w:tc>
        <w:tc>
          <w:tcPr>
            <w:tcW w:w="5688" w:type="dxa"/>
          </w:tcPr>
          <w:p w:rsidR="0000357C" w:rsidRDefault="00FB59C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125mcg  QD</w:t>
            </w:r>
          </w:p>
        </w:tc>
      </w:tr>
    </w:tbl>
    <w:p w:rsidR="0000357C" w:rsidRDefault="00FB59C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Contact MD </w:t>
      </w:r>
      <w:r>
        <w:rPr>
          <w:b/>
          <w:sz w:val="40"/>
          <w:szCs w:val="40"/>
        </w:rPr>
        <w:t>with:</w:t>
      </w:r>
    </w:p>
    <w:p w:rsidR="0000357C" w:rsidRPr="00000EB1" w:rsidRDefault="00FB5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0EB1">
        <w:rPr>
          <w:sz w:val="36"/>
          <w:szCs w:val="36"/>
        </w:rPr>
        <w:t>Baseline QTc</w:t>
      </w:r>
    </w:p>
    <w:p w:rsidR="00FB59CA" w:rsidRDefault="00FB59CA" w:rsidP="00FB59CA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000EB1">
        <w:rPr>
          <w:sz w:val="36"/>
          <w:szCs w:val="36"/>
        </w:rPr>
        <w:t xml:space="preserve">Initial dofetilide dosing </w:t>
      </w:r>
    </w:p>
    <w:p w:rsidR="0000357C" w:rsidRPr="00000EB1" w:rsidRDefault="00FB59CA" w:rsidP="00FB59CA">
      <w:pPr>
        <w:pStyle w:val="ListParagraph"/>
        <w:spacing w:after="0"/>
        <w:rPr>
          <w:sz w:val="36"/>
          <w:szCs w:val="36"/>
        </w:rPr>
      </w:pPr>
      <w:r w:rsidRPr="00000EB1">
        <w:rPr>
          <w:sz w:val="36"/>
          <w:szCs w:val="36"/>
        </w:rPr>
        <w:t>(</w:t>
      </w:r>
      <w:proofErr w:type="gramStart"/>
      <w:r w:rsidRPr="00000EB1">
        <w:rPr>
          <w:sz w:val="36"/>
          <w:szCs w:val="36"/>
        </w:rPr>
        <w:t>dosing</w:t>
      </w:r>
      <w:proofErr w:type="gramEnd"/>
      <w:r w:rsidRPr="00000EB1">
        <w:rPr>
          <w:sz w:val="36"/>
          <w:szCs w:val="36"/>
        </w:rPr>
        <w:t xml:space="preserve"> may be adjusted based on medical condition)</w:t>
      </w:r>
    </w:p>
    <w:p w:rsidR="0000357C" w:rsidRPr="00000EB1" w:rsidRDefault="00FB5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0EB1">
        <w:rPr>
          <w:sz w:val="36"/>
          <w:szCs w:val="36"/>
        </w:rPr>
        <w:t>Dosing that is inconsistent with diagram and document in Sentri 7</w:t>
      </w:r>
    </w:p>
    <w:p w:rsidR="0000357C" w:rsidRPr="00000EB1" w:rsidRDefault="00FB59CA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0EB1">
        <w:rPr>
          <w:sz w:val="36"/>
          <w:szCs w:val="36"/>
        </w:rPr>
        <w:t>15% increa</w:t>
      </w:r>
      <w:r w:rsidR="0084602C" w:rsidRPr="00000EB1">
        <w:rPr>
          <w:sz w:val="36"/>
          <w:szCs w:val="36"/>
        </w:rPr>
        <w:t>se in QTc/QT aft</w:t>
      </w:r>
      <w:r w:rsidR="00000EB1" w:rsidRPr="00000EB1">
        <w:rPr>
          <w:sz w:val="36"/>
          <w:szCs w:val="36"/>
        </w:rPr>
        <w:t>er initial dose per table:</w:t>
      </w:r>
    </w:p>
    <w:tbl>
      <w:tblPr>
        <w:tblStyle w:val="TableGrid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55"/>
        <w:gridCol w:w="7020"/>
      </w:tblGrid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b/>
                <w:sz w:val="32"/>
                <w:szCs w:val="32"/>
              </w:rPr>
            </w:pPr>
            <w:r w:rsidRPr="00000EB1">
              <w:rPr>
                <w:rFonts w:cstheme="minorHAnsi"/>
                <w:b/>
                <w:sz w:val="32"/>
                <w:szCs w:val="32"/>
              </w:rPr>
              <w:t>Baseline QTc (msec)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00EB1">
              <w:rPr>
                <w:b/>
                <w:bCs/>
                <w:sz w:val="28"/>
                <w:szCs w:val="28"/>
              </w:rPr>
              <w:t>&gt;15% increase in QTc from baseline or &gt;500 msec or &gt;550 msec in patients with ventricular conduc</w:t>
            </w:r>
            <w:r>
              <w:rPr>
                <w:b/>
                <w:bCs/>
                <w:sz w:val="28"/>
                <w:szCs w:val="28"/>
              </w:rPr>
              <w:t>tion abnormality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300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345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310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357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320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368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330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380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340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391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350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403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360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414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370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426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380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437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390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449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400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460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410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472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420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483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430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495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440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506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450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518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460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529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470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541</w:t>
            </w:r>
          </w:p>
        </w:tc>
      </w:tr>
      <w:tr w:rsidR="00000EB1" w:rsidRPr="00000EB1" w:rsidTr="00000EB1">
        <w:trPr>
          <w:trHeight w:val="229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480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552</w:t>
            </w:r>
          </w:p>
        </w:tc>
      </w:tr>
      <w:tr w:rsidR="00000EB1" w:rsidRPr="00000EB1" w:rsidTr="00000EB1">
        <w:trPr>
          <w:trHeight w:val="243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490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564</w:t>
            </w:r>
          </w:p>
        </w:tc>
      </w:tr>
      <w:tr w:rsidR="00000EB1" w:rsidRPr="00000EB1" w:rsidTr="00000EB1">
        <w:trPr>
          <w:trHeight w:val="65"/>
        </w:trPr>
        <w:tc>
          <w:tcPr>
            <w:tcW w:w="3055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500</w:t>
            </w:r>
          </w:p>
        </w:tc>
        <w:tc>
          <w:tcPr>
            <w:tcW w:w="7020" w:type="dxa"/>
          </w:tcPr>
          <w:p w:rsidR="00000EB1" w:rsidRPr="00000EB1" w:rsidRDefault="00000EB1" w:rsidP="00000EB1">
            <w:pPr>
              <w:spacing w:after="0" w:line="240" w:lineRule="auto"/>
              <w:contextualSpacing/>
              <w:rPr>
                <w:rFonts w:cstheme="minorHAnsi"/>
                <w:sz w:val="32"/>
                <w:szCs w:val="32"/>
              </w:rPr>
            </w:pPr>
            <w:r w:rsidRPr="00000EB1">
              <w:rPr>
                <w:rFonts w:cstheme="minorHAnsi"/>
                <w:sz w:val="32"/>
                <w:szCs w:val="32"/>
              </w:rPr>
              <w:t>575</w:t>
            </w:r>
          </w:p>
        </w:tc>
      </w:tr>
    </w:tbl>
    <w:p w:rsidR="00000EB1" w:rsidRDefault="00000EB1" w:rsidP="00000EB1">
      <w:pPr>
        <w:pStyle w:val="ListParagraph"/>
        <w:rPr>
          <w:sz w:val="32"/>
          <w:szCs w:val="32"/>
        </w:rPr>
      </w:pPr>
    </w:p>
    <w:p w:rsidR="0000357C" w:rsidRPr="00000EB1" w:rsidRDefault="00FB59CA">
      <w:pPr>
        <w:pStyle w:val="ListParagraph"/>
        <w:numPr>
          <w:ilvl w:val="0"/>
          <w:numId w:val="3"/>
        </w:numPr>
        <w:rPr>
          <w:rFonts w:cstheme="minorHAnsi"/>
          <w:sz w:val="36"/>
          <w:szCs w:val="36"/>
        </w:rPr>
      </w:pPr>
      <w:r w:rsidRPr="00000EB1">
        <w:rPr>
          <w:rFonts w:cstheme="minorHAnsi"/>
          <w:sz w:val="36"/>
          <w:szCs w:val="36"/>
        </w:rPr>
        <w:t xml:space="preserve">QTc increase &gt;500 msec or &gt;550 msec in patients </w:t>
      </w:r>
      <w:r w:rsidRPr="00000EB1">
        <w:rPr>
          <w:rFonts w:cstheme="minorHAnsi"/>
          <w:sz w:val="36"/>
          <w:szCs w:val="36"/>
        </w:rPr>
        <w:t>with BBB/ventricular abnormalities</w:t>
      </w:r>
    </w:p>
    <w:sectPr w:rsidR="0000357C" w:rsidRPr="00000EB1">
      <w:pgSz w:w="12240" w:h="15840"/>
      <w:pgMar w:top="432" w:right="432" w:bottom="432" w:left="43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3B9"/>
    <w:multiLevelType w:val="multilevel"/>
    <w:tmpl w:val="75FA7A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B2001B"/>
    <w:multiLevelType w:val="multilevel"/>
    <w:tmpl w:val="7DA6E6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88667D"/>
    <w:multiLevelType w:val="multilevel"/>
    <w:tmpl w:val="15107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921294"/>
    <w:multiLevelType w:val="multilevel"/>
    <w:tmpl w:val="FD2C47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7C"/>
    <w:rsid w:val="00000EB1"/>
    <w:rsid w:val="0000357C"/>
    <w:rsid w:val="0084602C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7915"/>
  <w15:docId w15:val="{ECCA6419-C4E6-457F-AF94-06E2AC8C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E22A6"/>
  </w:style>
  <w:style w:type="character" w:customStyle="1" w:styleId="FooterChar">
    <w:name w:val="Footer Char"/>
    <w:basedOn w:val="DefaultParagraphFont"/>
    <w:link w:val="Footer"/>
    <w:uiPriority w:val="99"/>
    <w:qFormat/>
    <w:rsid w:val="00CE22A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3C1F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E22A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22A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table" w:styleId="TableGrid">
    <w:name w:val="Table Grid"/>
    <w:basedOn w:val="TableNormal"/>
    <w:uiPriority w:val="39"/>
    <w:rsid w:val="00D5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0EB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Healthcare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Camille</dc:creator>
  <dc:description/>
  <cp:lastModifiedBy>Crawford, Camille</cp:lastModifiedBy>
  <cp:revision>2</cp:revision>
  <dcterms:created xsi:type="dcterms:W3CDTF">2024-01-31T21:35:00Z</dcterms:created>
  <dcterms:modified xsi:type="dcterms:W3CDTF">2024-01-31T21:35:00Z</dcterms:modified>
  <dc:language>en-US</dc:language>
</cp:coreProperties>
</file>